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9092B" w14:textId="77777777" w:rsid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4CE1A3F1" w14:textId="77777777" w:rsid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АЧИНСКОГО   СЕЛЬСОВЕТА</w:t>
      </w:r>
    </w:p>
    <w:p w14:paraId="075B2EEB" w14:textId="77777777" w:rsidR="00961A7A" w:rsidRDefault="00961A7A" w:rsidP="00961A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ОБЛАСТИ</w:t>
      </w:r>
    </w:p>
    <w:p w14:paraId="5023A318" w14:textId="77777777" w:rsid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0234B2A1" w14:textId="77777777" w:rsid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3AB574F9" w14:textId="77777777" w:rsid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5E554DEC" w14:textId="77777777" w:rsid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B42EF" w14:textId="5C9F03D7" w:rsidR="00961A7A" w:rsidRDefault="00961A7A" w:rsidP="00961A7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 28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 10.11.2024г </w:t>
      </w:r>
    </w:p>
    <w:p w14:paraId="24638964" w14:textId="5B632BA4" w:rsidR="00961A7A" w:rsidRDefault="00961A7A" w:rsidP="00961A7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номере:</w:t>
      </w:r>
    </w:p>
    <w:p w14:paraId="42D04F5B" w14:textId="5C7CE0C0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1.Статья:</w:t>
      </w:r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пожаров, возникающих по причине неисправного печного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отопления.</w:t>
      </w:r>
    </w:p>
    <w:p w14:paraId="0BE023D4" w14:textId="30CB4539" w:rsidR="0094784E" w:rsidRPr="00961A7A" w:rsidRDefault="00961A7A" w:rsidP="00947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478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№ 44а от 29.10.2024г.</w:t>
      </w:r>
      <w:r w:rsidR="0094784E" w:rsidRPr="009478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прогнозе социально-экономического развития </w:t>
      </w:r>
      <w:proofErr w:type="spellStart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</w:t>
      </w:r>
      <w:proofErr w:type="gramStart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="0094784E"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и плановый период 2026-2027 годов</w:t>
      </w:r>
    </w:p>
    <w:p w14:paraId="068E18EF" w14:textId="69EEDEA4" w:rsidR="00961A7A" w:rsidRDefault="00961A7A" w:rsidP="00961A7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A8E82" w14:textId="77777777" w:rsidR="00961A7A" w:rsidRDefault="00961A7A" w:rsidP="00961A7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AADA22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Профилактика пожаров, возникающих по причине неисправного печного отопления.</w:t>
      </w:r>
    </w:p>
    <w:p w14:paraId="147F3008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осенне-зимний период печное отопление продолжает оставаться основным источником тепла для многих граждан. Именно в это время, как показывает статистика, домашний очаг может стать источником повышенной опасности. Чтобы избежать беды, в домах, имеющих печное отопление, необходимо обращать особое внимание на выполнение требований пожарной безопасности – как при устройстве, так и при эксплуатации печей. 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</w:t>
      </w:r>
    </w:p>
    <w:p w14:paraId="6E62691D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"печных" пожаров приходится именно на отопительный сезон, на период холодов. Квартиросъемщики и домовладельцы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14:paraId="28B2227D" w14:textId="3DC70BA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"печных" пожаров:</w:t>
      </w:r>
    </w:p>
    <w:p w14:paraId="54E1CE34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Во-первых, нарушение правил устройства печи:</w:t>
      </w:r>
    </w:p>
    <w:p w14:paraId="75B094F4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недостаточные разделки дымовых труб в местах их прохождения через деревянные перекрытия, а также малые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отступки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расстояния между стенками печи и деревянными конструкциями перегородок и стен дома; отсутствие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листа. Под печь возводится самостоятельный фундамент.</w:t>
      </w:r>
    </w:p>
    <w:p w14:paraId="124F3C58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Во-вторых, нарушение правил пожарной безопасности при эксплуатации печи:</w:t>
      </w:r>
    </w:p>
    <w:p w14:paraId="70F86038" w14:textId="1816E0B5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розжиг печи бензином, керосином и другими легковоспламеняющимися жидкостями; использование дров, длина которых превышает размеры топливника; перекаливание печей; оставленные открытыми дверки; сушка одежды или других предметов вблизи очага.</w:t>
      </w:r>
    </w:p>
    <w:p w14:paraId="0390318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монтажу и эксплуатации печного отопления:</w:t>
      </w:r>
    </w:p>
    <w:p w14:paraId="4DC86174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 помнить, что в печи ценится, не только хорошая тяга, теплоотдача, экономичность и эстетические качества, но и безопасность.</w:t>
      </w:r>
    </w:p>
    <w:p w14:paraId="1B4F8A71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 сложенная печь может стать причиной пожара в доме. Чтобы этого не случилось, не поручайте кладку печи лицам, не знакомым с правилами пожарной безопасности при устройстве печного отопления.</w:t>
      </w:r>
    </w:p>
    <w:p w14:paraId="557EC8B9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началом отопительного сезона печи необходимо проверить и отремонтировать, дымоходы следует очистить от сажи и побелить. Неисправные печи, камины и дымоходы не должны допускаться к эксплуатации. </w:t>
      </w:r>
    </w:p>
    <w:p w14:paraId="7BE73978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-печь обязательно должна быть белой это позволит своевременно обнаруживать неисправности, трещины в печи которые могут привести к пожару, так как на белом фоне хорошо заметен чёрный след от дыма. </w:t>
      </w:r>
    </w:p>
    <w:p w14:paraId="7094AFBF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</w:t>
      </w: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 менее 38 см.</w:t>
      </w:r>
    </w:p>
    <w:p w14:paraId="5D770E85" w14:textId="40B74DD4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-для защиты сгораемого и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трудносгораемого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 перед топкой печи следует предусмотреть металлический лист размером </w:t>
      </w: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70х50 см.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каркасными печами и кухонными плитами на ножках полы необходимо защитить кровельной сталью по асбестовому картону толщиной 10 мм. Высота металлических ножек у печей должна быть не менее 100 мм.</w:t>
      </w:r>
    </w:p>
    <w:p w14:paraId="3B74F682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При эксплуатации отопительных печей запрещается:</w:t>
      </w:r>
    </w:p>
    <w:p w14:paraId="1121AC2D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оставлять без присмотра топящиеся печи, а также поручать детям надзор за ними.</w:t>
      </w:r>
    </w:p>
    <w:p w14:paraId="53D6F0BF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располагать топливо и другие горючие вещества, и материалы на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предтопочном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листе.</w:t>
      </w:r>
    </w:p>
    <w:p w14:paraId="77DEA447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применять для розжига печей бензин, керосин, дизельное топливо и другие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легковоспламеняемые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горючие жидкости</w:t>
      </w:r>
    </w:p>
    <w:p w14:paraId="33513047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топить углем, коксом и газом печи, не предназначенные для этих видов топлива.</w:t>
      </w:r>
    </w:p>
    <w:p w14:paraId="4CB5F0A1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топку печей во время проведения в помещениях собраний и других массовых мероприятий.</w:t>
      </w:r>
    </w:p>
    <w:p w14:paraId="7ADD2C59" w14:textId="77777777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перекаливать печи.</w:t>
      </w:r>
    </w:p>
    <w:p w14:paraId="6FD3F7F2" w14:textId="5331A232" w:rsidR="00961A7A" w:rsidRPr="00961A7A" w:rsidRDefault="00961A7A" w:rsidP="00961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металлические печи, не отвечающие требованиям пожарной безопасности, стандартам и техническим условиям. При установке временных металлических и других печей заводского изготовления должны выполняться указания (инструкции) предприятий-изготовителей, а также требования норм проектирования, предъявляемые к системам отопления.</w:t>
      </w:r>
    </w:p>
    <w:p w14:paraId="31DC0496" w14:textId="77777777" w:rsidR="00961A7A" w:rsidRPr="00961A7A" w:rsidRDefault="00961A7A" w:rsidP="00961A7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2023 году и за истекший период 2024 года на территории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произошло 28 случаев, где причиной пожара стало неисправное печное оборудование. Сотрудники Отдела надзорной деятельности и профилактической работы по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совместно с работниками 52 ПСЧ, ПЧ-121, органами местного самоуправления проводят многочисленные инструктажи и беседы с населением района, стараются обучить их правилам пожарной безопасности. Однако пока люди сами не осознают лежащей на них ответственности за жизнь и здоровье своих близких и окружающих, пока они будут наплевательски относиться к себе и своим близким, никакой инспектор, никакая комиссия не решат их проблем, и никто не сможет предотвратить трагедию.</w:t>
      </w:r>
    </w:p>
    <w:p w14:paraId="465F3372" w14:textId="4A3B8BBC" w:rsid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правила безопасности при пользовании печным отоплением! Берегите себя и жизнь своих близких!</w:t>
      </w:r>
    </w:p>
    <w:p w14:paraId="696C86DB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4585FD" w14:textId="77777777" w:rsidR="00961A7A" w:rsidRPr="00961A7A" w:rsidRDefault="00961A7A" w:rsidP="00961A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Дознаватель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ОНДиПР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321220" w14:textId="77777777" w:rsidR="00961A7A" w:rsidRPr="00961A7A" w:rsidRDefault="00961A7A" w:rsidP="00961A7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Болотнинскому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                                                              Е.А. Каржавин</w:t>
      </w:r>
    </w:p>
    <w:p w14:paraId="382B8A93" w14:textId="77777777" w:rsid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780063"/>
    </w:p>
    <w:p w14:paraId="4D8C84E6" w14:textId="2759B96E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22D33E94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 СЕЛЬСОВЕТА</w:t>
      </w:r>
    </w:p>
    <w:p w14:paraId="1D147122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14:paraId="3444F620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2FC1F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0BAF0A94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59705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29.10.2024                                         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с.Ача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№ 44а</w:t>
      </w:r>
    </w:p>
    <w:p w14:paraId="189C91B1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DF157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прогнозе социально-экономического развития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и плановый период 2026-2027 годов</w:t>
      </w:r>
    </w:p>
    <w:p w14:paraId="65707FBA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0FCB5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соответствии со статьёй 173 Бюджетного кодекса Российской Федерации, Положением «О бюджетном процессе в Ачинском сельсовете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</w:t>
      </w:r>
    </w:p>
    <w:p w14:paraId="7D4B6213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П О С Т А Н О В Л Я ЕТ:</w:t>
      </w:r>
    </w:p>
    <w:p w14:paraId="4FFE6731" w14:textId="77777777" w:rsidR="00961A7A" w:rsidRPr="00961A7A" w:rsidRDefault="00961A7A" w:rsidP="00961A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прилагаемый  прогноз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социально-экономического развития </w:t>
      </w:r>
    </w:p>
    <w:p w14:paraId="6DC9990A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  2027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годов.</w:t>
      </w:r>
    </w:p>
    <w:p w14:paraId="6A011775" w14:textId="77777777" w:rsidR="00961A7A" w:rsidRPr="00961A7A" w:rsidRDefault="00961A7A" w:rsidP="00961A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прогноз социально-экономического развития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EDC30A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2026-2027 годов как исходную базу для разработки проекта бюджета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2025-2027 годы.</w:t>
      </w:r>
    </w:p>
    <w:p w14:paraId="2A6020D0" w14:textId="77777777" w:rsidR="00961A7A" w:rsidRPr="00961A7A" w:rsidRDefault="00961A7A" w:rsidP="00961A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прогноз социально-экономического развития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D79EA8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2025 год и плановый период 2026-2027 годов в Совет депутатов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1EEE7DBB" w14:textId="77777777" w:rsidR="00961A7A" w:rsidRPr="00961A7A" w:rsidRDefault="00961A7A" w:rsidP="00961A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 момента подписания и подлежит </w:t>
      </w:r>
    </w:p>
    <w:p w14:paraId="3E5A3B96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официальному опубликованию в «Официальном вестнике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сельсовета» и размещению на официальном сайте администрации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14:paraId="26ACBC5D" w14:textId="77777777" w:rsidR="00961A7A" w:rsidRPr="00961A7A" w:rsidRDefault="00961A7A" w:rsidP="00961A7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постановления оставляю за собой.</w:t>
      </w:r>
    </w:p>
    <w:p w14:paraId="4BC31194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633C9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14:paraId="587D5167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14:paraId="0F594322" w14:textId="79700C8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А.В.Туралин</w:t>
      </w:r>
      <w:proofErr w:type="spellEnd"/>
    </w:p>
    <w:p w14:paraId="6E712C57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F0044" w14:textId="77777777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Одобрен  </w:t>
      </w:r>
    </w:p>
    <w:p w14:paraId="6879F184" w14:textId="77777777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 </w:t>
      </w:r>
    </w:p>
    <w:p w14:paraId="2933335D" w14:textId="77777777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</w:p>
    <w:p w14:paraId="2C464B88" w14:textId="77777777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района </w:t>
      </w:r>
    </w:p>
    <w:p w14:paraId="1FCC6498" w14:textId="77777777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Новосибирской области</w:t>
      </w:r>
    </w:p>
    <w:p w14:paraId="5CFBC0E6" w14:textId="6C892925" w:rsidR="00961A7A" w:rsidRPr="00961A7A" w:rsidRDefault="00961A7A" w:rsidP="00961A7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от  29.10.2024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№ 44а                                                                       </w:t>
      </w:r>
    </w:p>
    <w:p w14:paraId="41242EC4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22EEAB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2AEB50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>П Р О Г Н О З</w:t>
      </w:r>
    </w:p>
    <w:p w14:paraId="68924A0E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C7C2E8" w14:textId="64FC54B2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Болотнинского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на 2025 год и </w:t>
      </w:r>
      <w:proofErr w:type="gram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плановый  период</w:t>
      </w:r>
      <w:proofErr w:type="gram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2026 и  2027 годов</w:t>
      </w:r>
    </w:p>
    <w:p w14:paraId="1D8D0B29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F1E54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F6D121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1.Предварительные итоги социально-</w:t>
      </w:r>
      <w:proofErr w:type="gramStart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экономического  развития</w:t>
      </w:r>
      <w:proofErr w:type="gramEnd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за 9 месяцев 2024 года и ожидаемые итоги 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сельсовета на текущий финансовый год</w:t>
      </w:r>
    </w:p>
    <w:p w14:paraId="3FC1B921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5E7EE2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      Территория </w:t>
      </w:r>
      <w:proofErr w:type="spell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включает в себя три населенных пункта: село </w:t>
      </w:r>
      <w:proofErr w:type="spell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, деревни </w:t>
      </w:r>
      <w:proofErr w:type="spell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Елфимово</w:t>
      </w:r>
      <w:proofErr w:type="spell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, Березовка.</w:t>
      </w:r>
    </w:p>
    <w:p w14:paraId="2DA8D6E4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На территории поселения находятся: Муниципальное казённое предприятие 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жилищно-коммунальное хозяйство» муниципального образования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сельсовета,  Муниципальное казённое учреждение культуры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сельское культурное объединение»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с.Ача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>, 2  индивидуальных предпринимателя (ИП «Шеметов А.И.», ИП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Дуйковаа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Ю.М.»,  БТП</w:t>
      </w:r>
      <w:r w:rsidRPr="00961A7A"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«Система», Муниципальное казённое общеобразовательное учреждение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Ачинская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средняя общеобразовательная школа»,   ФАП  (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Ачинский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ФАП), почтовое отделение, ЛПХ («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Военков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А.В.,»,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Эйснер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В.В.»,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Шпет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Ю.Л.»), КФХ «Цех Р.М.»).</w:t>
      </w:r>
    </w:p>
    <w:p w14:paraId="4148B88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  В личных подсобных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хозяйствах  граждан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, проживающих на территории поселения имеется КРС, свиньи, овцы и козы, лошади, птица, кролики, пчелосемьи.  </w:t>
      </w:r>
    </w:p>
    <w:p w14:paraId="1DDCDD41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 Одним из вопросов местного значения является организация благоустройства, предоставление коммунальных услуг населению, ремонт дорог.</w:t>
      </w:r>
    </w:p>
    <w:p w14:paraId="3D20CCE6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615591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Демография</w:t>
      </w:r>
    </w:p>
    <w:p w14:paraId="671C767D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FA78F2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Социально-</w:t>
      </w:r>
      <w:proofErr w:type="gram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экономическое  развитие</w:t>
      </w:r>
      <w:proofErr w:type="gram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поселения определяется совокупностью внешних и внутренних условий, одним из которых является демографическая ситуация.</w:t>
      </w:r>
    </w:p>
    <w:p w14:paraId="28FEA61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Численность населения поселения на 1 января 2024 года составляла 575 человек.</w:t>
      </w:r>
    </w:p>
    <w:p w14:paraId="4C36B9D0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 За 9 месяцев на территории поселения родилось 2 детей, за этот же период умерло 8 человека, естественная убыль составила - 6 человека. </w:t>
      </w:r>
    </w:p>
    <w:p w14:paraId="6A834B42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EB15FE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B7842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Труд и заработная плата</w:t>
      </w:r>
    </w:p>
    <w:p w14:paraId="4D55553C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B3B7C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Занятость населения в экономике в 2024 году составила 216 человек, что составляет 100 % к численности занятых в экономике в 2023 году.</w:t>
      </w:r>
    </w:p>
    <w:p w14:paraId="529F784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В 2024 году 84 человек заняты в ЛПХ, что </w:t>
      </w:r>
      <w:proofErr w:type="gram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составляет  14</w:t>
      </w:r>
      <w:proofErr w:type="gram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,6 % от общей численности населения.</w:t>
      </w:r>
    </w:p>
    <w:p w14:paraId="4AD74F0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Среднемесячная заработная плата по поселению в 2024 году составляет 20900,00 руб., что составляет 100% к уровню 2023 года.</w:t>
      </w:r>
    </w:p>
    <w:p w14:paraId="4100BC8E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4E5FB6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Малое предпринимательство и потребительский рынок</w:t>
      </w:r>
    </w:p>
    <w:p w14:paraId="5DBAB7E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2F3E77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На территории поселения население обслуживают 3 объекта торговли, которые зарегистрированы в установленном порядке. Занятость </w:t>
      </w:r>
      <w:proofErr w:type="gram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3  человека</w:t>
      </w:r>
      <w:proofErr w:type="gram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27C31A0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   КФХ «Цех Р.М.» занимается растениеводством. </w:t>
      </w:r>
    </w:p>
    <w:p w14:paraId="61888B2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Предоставлением бытовых услуг на территории </w:t>
      </w:r>
      <w:proofErr w:type="spellStart"/>
      <w:r w:rsidRPr="00961A7A">
        <w:rPr>
          <w:rFonts w:ascii="Times New Roman" w:eastAsia="Calibri" w:hAnsi="Times New Roman" w:cs="Times New Roman"/>
          <w:bCs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Cs/>
          <w:sz w:val="24"/>
          <w:szCs w:val="24"/>
        </w:rPr>
        <w:t xml:space="preserve"> сельсовета не занимаются.</w:t>
      </w:r>
    </w:p>
    <w:p w14:paraId="4E4F7B09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Жилищно-коммунальное хозяйство</w:t>
      </w:r>
    </w:p>
    <w:p w14:paraId="5A2FEBA0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6F2D6B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Муниципальное  казенное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предприятие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жилищно-коммунальное хозяйство» муниципального образования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  оказывает услуги  по теплоснабжению бюджетным организациям, по водоснабжению всем потребителям расположенных на территории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сельсовета, дополнительные услуги по предоставлению автотранспорта,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эксковатора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и гусеничного тракторов.</w:t>
      </w:r>
    </w:p>
    <w:p w14:paraId="732E48F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 Общий размер жилого фонда администрации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 составляет 12700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. Протяженность водопроводных сетей – 12,0 км, тепловых сетей 0,923 км. Выработку теплоэнергии производят 2 котельные, котельная №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1  мощностью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-0,6 МВт., Котельная № 2  мощностью -2,3МВт.</w:t>
      </w:r>
    </w:p>
    <w:p w14:paraId="51B24FE6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Объекты отопления - социальные учреждения.</w:t>
      </w:r>
    </w:p>
    <w:p w14:paraId="40B0037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За 7 месяцев 2024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года  МКП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ЖКХ»   оказано услуг организациям и населению на сумму 3076,4</w:t>
      </w: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61A7A">
        <w:rPr>
          <w:rFonts w:ascii="Times New Roman" w:eastAsia="Calibri" w:hAnsi="Times New Roman" w:cs="Times New Roman"/>
          <w:sz w:val="24"/>
          <w:szCs w:val="24"/>
        </w:rPr>
        <w:t>в т.ч.:</w:t>
      </w:r>
    </w:p>
    <w:p w14:paraId="3B82E9EA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по теплоснабжению на сумму 2929,5 тыс. руб.,</w:t>
      </w:r>
    </w:p>
    <w:p w14:paraId="28549A7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по водоснабжению 147,0 тыс. руб.,</w:t>
      </w:r>
    </w:p>
    <w:p w14:paraId="50B77724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прочие услуги- 0,00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626FBB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За 2 месяца 2024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года  МКП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«УК ЖКХ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района НСО»   оказано услуг организациям и населению на сумму 863,2</w:t>
      </w: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961A7A">
        <w:rPr>
          <w:rFonts w:ascii="Times New Roman" w:eastAsia="Calibri" w:hAnsi="Times New Roman" w:cs="Times New Roman"/>
          <w:sz w:val="24"/>
          <w:szCs w:val="24"/>
        </w:rPr>
        <w:t>в т.ч.:</w:t>
      </w:r>
    </w:p>
    <w:p w14:paraId="40650FA2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по теплоснабжению на сумму 743,3 тыс. руб.,</w:t>
      </w:r>
    </w:p>
    <w:p w14:paraId="00158442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по водоснабжению 119,9 тыс. руб.,</w:t>
      </w:r>
    </w:p>
    <w:p w14:paraId="547F999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На территории поселения имеется 7 водозаборных скважин. </w:t>
      </w:r>
    </w:p>
    <w:p w14:paraId="3E34FA5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МКП «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ЖКХ» отапливает: администрацию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сельсовета,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Ачинскую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среднюю общеобразовательную школу,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Ачинский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детский сад, Дом культуры, ФАП.</w:t>
      </w:r>
    </w:p>
    <w:p w14:paraId="1175E9E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Произведен ремонт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котла  котельной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№ 2 в с.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</w:p>
    <w:p w14:paraId="739BF3A6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В котельной № 1 произвели замену котла и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колосников,  произведен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ремонт вытяжной трубы и косметический ремонт здания в с.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DF1D3E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В с.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по ул. Школьной, ул. Центральная и д.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Елфимово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по ул. Заречная произведена замена глубинных насосов</w:t>
      </w:r>
    </w:p>
    <w:p w14:paraId="4A71A9C4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Велись ремонты по очистке водопроводных колодцев по ул. Школьная, ул. Набережная в с.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8AA0AB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3242792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>Строительство</w:t>
      </w:r>
    </w:p>
    <w:p w14:paraId="3B2E3CA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DAE0E9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На территории поселения строительство жилых домов не ведется.</w:t>
      </w:r>
    </w:p>
    <w:p w14:paraId="22F3349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1FCD01" w14:textId="77777777" w:rsidR="0094784E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</w:t>
      </w:r>
    </w:p>
    <w:p w14:paraId="67357F10" w14:textId="3E089813" w:rsidR="00961A7A" w:rsidRPr="00961A7A" w:rsidRDefault="00961A7A" w:rsidP="009478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Социальная сфера</w:t>
      </w:r>
    </w:p>
    <w:p w14:paraId="0A586C79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460165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В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поселении  функционирует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1 средняя общеобразовательная школа в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с.Ача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.   Коллектив школы укомплектован квалифицированными кадрами. В школе имеется компьютерный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класс,  доступ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к Интернету. </w:t>
      </w:r>
    </w:p>
    <w:p w14:paraId="01B07CA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В школе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обучается  54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учащихся.</w:t>
      </w:r>
    </w:p>
    <w:p w14:paraId="6AABAB6C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Для обеспечения равных возможностей обучения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детей  из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д.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Елфимово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организован подвоз 9</w:t>
      </w: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учащихся, в д. Березовка детей - нет. </w:t>
      </w:r>
    </w:p>
    <w:p w14:paraId="56DC3F61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При 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Ачинской</w:t>
      </w:r>
      <w:proofErr w:type="spellEnd"/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СОШ  функционирует  разновозрастная группа  дошкольной подготовки детей.</w:t>
      </w:r>
    </w:p>
    <w:p w14:paraId="5A78415B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Муниципальное  казённое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учреждение культуры «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сельское культурное объединение» с.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, находящееся на территории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сельсовета, создано в целях осуществления культурной государственной политики. </w:t>
      </w:r>
    </w:p>
    <w:p w14:paraId="52702716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Учреждение культуры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 создает благоприятные условия для доступности населения к культурным ценностям, удовлетворению потребностей в их духовно-нравственном развитии. </w:t>
      </w:r>
    </w:p>
    <w:p w14:paraId="33984777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Населению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  спектр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культурных услуг, развивать свои творческие способности, посещать библиотеку, проводимые работниками культуры концерты и другие культурные общественные мероприятия. </w:t>
      </w:r>
    </w:p>
    <w:p w14:paraId="73FA7D37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 учреждении культуры работает 12 клубных формирований (танцевальные –группы «Ручеек», «Серпантин», студия эстрадного пения-«Веселые нотки», «Мечта»; драматические кружки – «Аленький цветочек», «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Арлекино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кружок рисования – «Волшебная кисточка»; кружок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декаративно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-прикладное искусство – «Лучик»; клуб досуговый объект «Гармония»;, клуб «Патриот», клуб «Я счастливая женщина», клуб выходного дня «Волшебный ключик»,  занятость населения составляет 2769</w:t>
      </w:r>
      <w:r w:rsidRPr="00961A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6BA290C7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Задача культурно-досугового объединения - привлечь население для участия в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  общественных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мероприятиях.</w:t>
      </w:r>
    </w:p>
    <w:p w14:paraId="56990E6A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Посетили  библиотеку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2024 года 2610</w:t>
      </w:r>
      <w:r w:rsidRPr="00961A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48CAD68B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поселении имеется ФАП, работники которых обслуживают три населенных пункта.</w:t>
      </w:r>
    </w:p>
    <w:p w14:paraId="28956AC3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          Ежегодно проводится диспансеризация населения в Ачинском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ФАПе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, куда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выезжают  специалисты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районной поликлиники.</w:t>
      </w:r>
    </w:p>
    <w:p w14:paraId="7A856AB1" w14:textId="12D55E1C" w:rsid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      На территории поселения имеется почтовое отделение, услугами связи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пользуется  255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домохозяйств, имеется выход в Интернет, которым пользуются жильцы 130 домохозяйств. Во всех населенных пунктах установлены таксофоны.</w:t>
      </w:r>
    </w:p>
    <w:p w14:paraId="1E880C79" w14:textId="77777777" w:rsidR="0094784E" w:rsidRPr="00961A7A" w:rsidRDefault="0094784E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5AF50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>Дорожное хозяйство</w:t>
      </w:r>
    </w:p>
    <w:p w14:paraId="1B76B03D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53CB89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Общая протяженность дорог в границах поселения составляет 14,100 км.</w:t>
      </w:r>
    </w:p>
    <w:p w14:paraId="30B4032A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В 2024 году в бюджет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 заложены денежные средства на развитие транспортной системы поселения и повышение безопасности дорожного движения в сумме 1714,6 </w:t>
      </w:r>
      <w:proofErr w:type="spellStart"/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EA252C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За 9 месяцев 2024 года освоено 950,0 </w:t>
      </w:r>
      <w:proofErr w:type="spellStart"/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тыс.рублей</w:t>
      </w:r>
      <w:proofErr w:type="spellEnd"/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дорожного фонда.</w:t>
      </w:r>
    </w:p>
    <w:p w14:paraId="25A0C454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Проведены работы по очистке дорог, выравнивание и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грейдерование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дорог, отсыпано частично дорожное полотно в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с.Ача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по улицам Школьная,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Центральная,  Заречная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; в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д.Елфимово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по ул. Заречная;</w:t>
      </w:r>
    </w:p>
    <w:p w14:paraId="23989EF6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Ача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ул.Центральная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>, Школьная заменены уличные светильники.</w:t>
      </w:r>
    </w:p>
    <w:p w14:paraId="70D1ECE0" w14:textId="43319C65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Оставшаяся часть денежных средств будет израсходована на оплату за очистку снега и электроэнергию за уличное освещение.</w:t>
      </w:r>
    </w:p>
    <w:p w14:paraId="7832D118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745CB1D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946B81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B1D2DC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87AAF4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A6E77B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EAF54A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82391A" w14:textId="77777777" w:rsidR="0094784E" w:rsidRDefault="0094784E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7945C9" w14:textId="03D1038F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bCs/>
          <w:sz w:val="24"/>
          <w:szCs w:val="24"/>
        </w:rPr>
        <w:t>Бюджет и бюджетная обеспеченность</w:t>
      </w:r>
    </w:p>
    <w:p w14:paraId="077705F7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C9551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>за 9 месяцев 2024 года</w:t>
      </w:r>
    </w:p>
    <w:p w14:paraId="5569344B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1"/>
        <w:gridCol w:w="4114"/>
      </w:tblGrid>
      <w:tr w:rsidR="00961A7A" w:rsidRPr="00961A7A" w14:paraId="243097F9" w14:textId="77777777" w:rsidTr="0029510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26E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1FFFE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786E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D706E7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2024</w:t>
            </w:r>
          </w:p>
        </w:tc>
      </w:tr>
      <w:tr w:rsidR="00961A7A" w:rsidRPr="00961A7A" w14:paraId="64AC6327" w14:textId="77777777" w:rsidTr="0029510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ECF1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объем доходов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D050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13770,3</w:t>
            </w:r>
          </w:p>
        </w:tc>
      </w:tr>
      <w:tr w:rsidR="00961A7A" w:rsidRPr="00961A7A" w14:paraId="7D6D0BF8" w14:textId="77777777" w:rsidTr="0029510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C40E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Объем собственных доходов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4B6" w14:textId="77777777" w:rsidR="00961A7A" w:rsidRPr="00961A7A" w:rsidRDefault="00961A7A" w:rsidP="00961A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4047,1</w:t>
            </w:r>
          </w:p>
        </w:tc>
      </w:tr>
      <w:tr w:rsidR="00961A7A" w:rsidRPr="00961A7A" w14:paraId="078C8B18" w14:textId="77777777" w:rsidTr="0029510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31D6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Уровень бюджетной обеспеченности на душу населения (тыс. руб.)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CB9E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41,76</w:t>
            </w:r>
          </w:p>
          <w:p w14:paraId="143D1CF4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278DA52F" w14:textId="77777777" w:rsidTr="0029510E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D204" w14:textId="77777777" w:rsidR="00961A7A" w:rsidRPr="00961A7A" w:rsidRDefault="00961A7A" w:rsidP="00961A7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т.ч. собственных </w:t>
            </w:r>
            <w:proofErr w:type="gramStart"/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доходов  (</w:t>
            </w:r>
            <w:proofErr w:type="gramEnd"/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A311" w14:textId="77777777" w:rsidR="00961A7A" w:rsidRPr="00961A7A" w:rsidRDefault="00961A7A" w:rsidP="00961A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Calibri" w:hAnsi="Times New Roman" w:cs="Times New Roman"/>
                <w:sz w:val="24"/>
                <w:szCs w:val="24"/>
              </w:rPr>
              <w:t>14.21</w:t>
            </w:r>
          </w:p>
        </w:tc>
      </w:tr>
    </w:tbl>
    <w:p w14:paraId="056116EF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78B987C4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   </w:t>
      </w:r>
      <w:r w:rsidRPr="00961A7A">
        <w:rPr>
          <w:rFonts w:ascii="Times New Roman" w:eastAsia="Calibri" w:hAnsi="Times New Roman" w:cs="Times New Roman"/>
          <w:b/>
          <w:sz w:val="24"/>
          <w:szCs w:val="24"/>
        </w:rPr>
        <w:t>2.Прогноз</w:t>
      </w:r>
    </w:p>
    <w:p w14:paraId="009A6C3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Болотнинского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на 2025 год </w:t>
      </w:r>
      <w:proofErr w:type="gram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и  плановый</w:t>
      </w:r>
      <w:proofErr w:type="gram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период 2026 - 2027 годов</w:t>
      </w:r>
    </w:p>
    <w:p w14:paraId="3F35E66D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D5ADC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 Целью 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сельсовета  на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2024 год и на период до 2025 года является обеспечение условий для повышения уровня и качества жизни населения поселения.</w:t>
      </w:r>
    </w:p>
    <w:p w14:paraId="4D7889DA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961A7A">
        <w:rPr>
          <w:rFonts w:ascii="Times New Roman" w:eastAsia="Calibri" w:hAnsi="Times New Roman" w:cs="Times New Roman"/>
          <w:sz w:val="24"/>
          <w:szCs w:val="24"/>
        </w:rPr>
        <w:t>Основные  показатели</w:t>
      </w:r>
      <w:proofErr w:type="gram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прогноза 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961A7A">
        <w:rPr>
          <w:rFonts w:ascii="Times New Roman" w:eastAsia="Calibri" w:hAnsi="Times New Roman" w:cs="Times New Roman"/>
          <w:sz w:val="24"/>
          <w:szCs w:val="24"/>
        </w:rPr>
        <w:t>Болотнинского</w:t>
      </w:r>
      <w:proofErr w:type="spellEnd"/>
      <w:r w:rsidRPr="00961A7A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  на 2023 год и плановый период 2024 - 2025 годов приведены в таблице 1.</w:t>
      </w:r>
    </w:p>
    <w:p w14:paraId="244D52E1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color w:val="C00000"/>
          <w:sz w:val="24"/>
          <w:szCs w:val="24"/>
        </w:rPr>
      </w:pPr>
    </w:p>
    <w:p w14:paraId="45713DAE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Территория </w:t>
      </w:r>
      <w:proofErr w:type="spellStart"/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включает в себя три  населенных пункта: село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деревни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Елфимово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Березовка. На территории поселения находятся: МКУК «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Ачинское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культурное объединение», МКОУ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Ачинская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СОШ, МКП «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Ачинское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жилищно-коммунальное хозяйство», БТП</w:t>
      </w:r>
      <w:r w:rsidRPr="00961A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«Система», одно крестьянское фермерское хозяйство, два индивидуальных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 ФАП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почтовое отделение».</w:t>
      </w:r>
    </w:p>
    <w:p w14:paraId="2458220A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01.01.2024 года численность населения составила 575 человек, что составило 99,0% от численности населения 2023 года. </w:t>
      </w:r>
    </w:p>
    <w:p w14:paraId="641EADB3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2025-2027 годах прогнозируется уменьшение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  и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достигнет 570 человека, в связи с отсутствием рабочих мест (часть населения  вынуждена трудиться за пределами поселения) на территории поселения и высокой смертностью.</w:t>
      </w:r>
    </w:p>
    <w:p w14:paraId="07FAA497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поселении функционирует сельскохозяйственное предприятие ИП «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Лещенок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направление предприятия - растениеводство, животноводство, в 84 личном подсобном хозяйствах имеются КРС, свиньи, овцы, птица, пчелосемьи. </w:t>
      </w:r>
    </w:p>
    <w:p w14:paraId="3588F24C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КФХ «Цех Р.М..» занимается растениеводством.</w:t>
      </w:r>
    </w:p>
    <w:p w14:paraId="61C42559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2024-2026 годах не ожидается увеличение КРС, свиней, птицы в личных подсобных хозяйствах населения.</w:t>
      </w:r>
    </w:p>
    <w:p w14:paraId="3CD9BC12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Строительство жилых домов в поселении не осуществляется.</w:t>
      </w:r>
    </w:p>
    <w:p w14:paraId="0810D83B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Реализацией товаров первой необходимости занимается 2 индивидуальных предпринимателя в с.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БТПК «Система», имеется торговая точка в д.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Елфимово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д.Березовка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точки нет.</w:t>
      </w:r>
    </w:p>
    <w:p w14:paraId="0944132C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Занятость населения в экономике в 2024 году составила 216 человек, что составило 100% от занятости населения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в  2023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84 человек занят в личных подсобных хозяйствах, что составляет 14,6 % от общей численности населения муниципального образования. Численность занятых в экономике к 2025 году прогнозируется до 220 человек.</w:t>
      </w:r>
    </w:p>
    <w:p w14:paraId="13A03A41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Среднемесячная номинальная начисленная заработная плата к 2025 году прогнозируется в сумме 20865,50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.П</w:t>
      </w:r>
      <w:r w:rsidRPr="00961A7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</w:t>
      </w:r>
      <w:proofErr w:type="gramEnd"/>
      <w:r w:rsidRPr="00961A7A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мере повышения заработной платы на предприятиях, учреждениях, а также в бюджетной сфере наполняемость бюджета доходами в виде налога на доходы физических лиц будет расти.</w:t>
      </w:r>
    </w:p>
    <w:p w14:paraId="04E79D18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Бюджетная политика является ключевым звеном экономической политики. От качества местного бюджета зависит и социальный уровень жизни граждан поселения.</w:t>
      </w:r>
    </w:p>
    <w:p w14:paraId="44824E27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Основными источниками доходов бюджета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14:paraId="55FCFCFE" w14:textId="77777777" w:rsidR="00961A7A" w:rsidRPr="00961A7A" w:rsidRDefault="00961A7A" w:rsidP="00961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земельный налог, налог на имущество физических лиц, налог на доходы физических лиц, доходы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оказания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услуг, доходы от использования муниципального имущества. Необходимо продолжить работу по завершению оформления земли и имущества в собственность граждан.</w:t>
      </w:r>
    </w:p>
    <w:p w14:paraId="65827968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788284" w14:textId="77777777" w:rsidR="00961A7A" w:rsidRPr="00961A7A" w:rsidRDefault="00961A7A" w:rsidP="00961A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33E5D4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3.  Приоритетные направления социально-экономического развития </w:t>
      </w:r>
      <w:proofErr w:type="spellStart"/>
      <w:r w:rsidRPr="00961A7A">
        <w:rPr>
          <w:rFonts w:ascii="Times New Roman" w:eastAsia="Calibri" w:hAnsi="Times New Roman" w:cs="Times New Roman"/>
          <w:b/>
          <w:sz w:val="24"/>
          <w:szCs w:val="24"/>
        </w:rPr>
        <w:t>Ачинского</w:t>
      </w:r>
      <w:proofErr w:type="spellEnd"/>
      <w:r w:rsidRPr="00961A7A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на 2024 год и плановый период 2025 и 2027 годов:</w:t>
      </w:r>
    </w:p>
    <w:p w14:paraId="0504FB18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216B9C" w14:textId="77777777" w:rsidR="00961A7A" w:rsidRPr="00961A7A" w:rsidRDefault="00961A7A" w:rsidP="00961A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61A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Прогнозом на очередной 2025 финансовый год и плановый период 2026 – 2027 годы определены следующие приоритеты социально-экономического развития </w:t>
      </w:r>
      <w:proofErr w:type="spellStart"/>
      <w:r w:rsidRPr="00961A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сельсовета: </w:t>
      </w:r>
    </w:p>
    <w:p w14:paraId="3C2A19BC" w14:textId="77777777" w:rsidR="00961A7A" w:rsidRPr="00961A7A" w:rsidRDefault="00961A7A" w:rsidP="00961A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доходной части местного бюджета (эффективное управление муниципальным имуществом, проведение работы по выявлению собственников земельных участков и другого недвижимого имущества и привлечению их к налогообложению); </w:t>
      </w:r>
    </w:p>
    <w:p w14:paraId="362A27E0" w14:textId="77777777" w:rsidR="00961A7A" w:rsidRPr="00961A7A" w:rsidRDefault="00961A7A" w:rsidP="00961A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Подключение дома по ул. Набережная, в с. </w:t>
      </w:r>
      <w:proofErr w:type="spellStart"/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водопроводной сети;</w:t>
      </w:r>
    </w:p>
    <w:p w14:paraId="0A488968" w14:textId="77777777" w:rsidR="00961A7A" w:rsidRPr="00961A7A" w:rsidRDefault="00961A7A" w:rsidP="00961A7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Текущиий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в администрации </w:t>
      </w:r>
      <w:proofErr w:type="spell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(2025);</w:t>
      </w:r>
    </w:p>
    <w:p w14:paraId="1BCC03C5" w14:textId="77777777" w:rsidR="00961A7A" w:rsidRPr="00961A7A" w:rsidRDefault="00961A7A" w:rsidP="00961A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населению доступных муниципальных услуг, в соответствии с регламентами администрации и действующим законодательством;</w:t>
      </w:r>
    </w:p>
    <w:p w14:paraId="7CB95DC0" w14:textId="77777777" w:rsidR="00961A7A" w:rsidRPr="00961A7A" w:rsidRDefault="00961A7A" w:rsidP="00961A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первичных мер пожарной безопасности, мероприятий </w:t>
      </w:r>
      <w:proofErr w:type="gramStart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профилактике</w:t>
      </w:r>
      <w:proofErr w:type="gramEnd"/>
      <w:r w:rsidRPr="00961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терроризма и экстремизма</w:t>
      </w:r>
    </w:p>
    <w:p w14:paraId="6E4E9000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</w:p>
    <w:p w14:paraId="56F73693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F598DD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F652F7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61A7A" w:rsidRPr="00961A7A">
          <w:pgSz w:w="11906" w:h="16838"/>
          <w:pgMar w:top="1134" w:right="567" w:bottom="567" w:left="1134" w:header="709" w:footer="709" w:gutter="0"/>
          <w:cols w:space="720"/>
        </w:sectPr>
      </w:pPr>
    </w:p>
    <w:p w14:paraId="50D9B129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 показатели</w:t>
      </w:r>
      <w:proofErr w:type="gramEnd"/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социально-экономического развития администрации </w:t>
      </w:r>
      <w:proofErr w:type="spellStart"/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Ачинского</w:t>
      </w:r>
      <w:proofErr w:type="spellEnd"/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в </w:t>
      </w:r>
    </w:p>
    <w:p w14:paraId="4A6E4D28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2022 -2025годах</w:t>
      </w:r>
    </w:p>
    <w:p w14:paraId="0492DA84" w14:textId="77777777" w:rsidR="00961A7A" w:rsidRPr="00961A7A" w:rsidRDefault="00961A7A" w:rsidP="00961A7A">
      <w:pPr>
        <w:spacing w:after="0" w:line="240" w:lineRule="auto"/>
        <w:ind w:right="-3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5AB69" w14:textId="77777777" w:rsidR="00961A7A" w:rsidRPr="00961A7A" w:rsidRDefault="00961A7A" w:rsidP="00961A7A">
      <w:pPr>
        <w:widowControl w:val="0"/>
        <w:snapToGrid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0"/>
        <w:gridCol w:w="604"/>
        <w:gridCol w:w="993"/>
        <w:gridCol w:w="854"/>
        <w:gridCol w:w="1134"/>
        <w:gridCol w:w="992"/>
        <w:gridCol w:w="1134"/>
        <w:gridCol w:w="993"/>
        <w:gridCol w:w="992"/>
        <w:gridCol w:w="992"/>
        <w:gridCol w:w="992"/>
        <w:gridCol w:w="993"/>
        <w:gridCol w:w="992"/>
      </w:tblGrid>
      <w:tr w:rsidR="00961A7A" w:rsidRPr="00961A7A" w14:paraId="26EBCDB6" w14:textId="77777777" w:rsidTr="0094784E">
        <w:trPr>
          <w:cantSplit/>
          <w:tblHeader/>
        </w:trPr>
        <w:tc>
          <w:tcPr>
            <w:tcW w:w="4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D8A1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развития</w:t>
            </w:r>
          </w:p>
          <w:p w14:paraId="3848C33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района,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519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Един.</w:t>
            </w:r>
          </w:p>
          <w:p w14:paraId="595D304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2112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8B43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6CB3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FEFE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A242D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2027 г.</w:t>
            </w:r>
          </w:p>
        </w:tc>
      </w:tr>
      <w:tr w:rsidR="00961A7A" w:rsidRPr="00961A7A" w14:paraId="65066DA2" w14:textId="77777777" w:rsidTr="0094784E">
        <w:trPr>
          <w:cantSplit/>
          <w:trHeight w:val="695"/>
          <w:tblHeader/>
        </w:trPr>
        <w:tc>
          <w:tcPr>
            <w:tcW w:w="4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F8639" w14:textId="77777777" w:rsidR="00961A7A" w:rsidRPr="00961A7A" w:rsidRDefault="00961A7A" w:rsidP="00961A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D2103" w14:textId="77777777" w:rsidR="00961A7A" w:rsidRPr="00961A7A" w:rsidRDefault="00961A7A" w:rsidP="00961A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81D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34DB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2022г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8867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B9D8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2023г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65E1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383D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2024г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5F53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D59E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2025г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F1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A386D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77E7D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2026 г.</w:t>
            </w:r>
          </w:p>
        </w:tc>
      </w:tr>
      <w:tr w:rsidR="00961A7A" w:rsidRPr="00961A7A" w14:paraId="6B7C8C4F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8DF2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Численность населения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5CC4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FBD72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AC97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EC3B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6871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947C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2C57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EB7A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875C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4E8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DC8F9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61A7A" w:rsidRPr="00961A7A" w14:paraId="0E1AB780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F9C5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Прирост + (убыль -) населения с учетом миграции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DE0A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60CDE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7B90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1747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CF06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FD26C" w14:textId="77777777" w:rsidR="00961A7A" w:rsidRPr="00961A7A" w:rsidRDefault="00961A7A" w:rsidP="00961A7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50C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EB59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FB2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8FCA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72B1C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678D7E94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E505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родившихся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BEA5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53A37A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56A3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89F7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9754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2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BC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E3B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7EA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0A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3CF8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0B4B32DF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DDC5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умерших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BCB8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FAE70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E0FB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E02C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C51B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F51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F0E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0E4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DE3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58A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E2A7C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2C08FED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B439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DDD7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76DD2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DF0D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E2FC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B581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FDED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4F8E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C07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D431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3832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CA3E3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1A7A" w:rsidRPr="00961A7A" w14:paraId="29193AEA" w14:textId="77777777" w:rsidTr="0094784E">
        <w:trPr>
          <w:cantSplit/>
          <w:trHeight w:val="425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E64C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D969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96E65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F560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3E3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8656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D89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0E1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0BD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3E3C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6B9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1DD7D3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7539F72C" w14:textId="77777777" w:rsidTr="0094784E">
        <w:trPr>
          <w:cantSplit/>
          <w:trHeight w:val="425"/>
        </w:trPr>
        <w:tc>
          <w:tcPr>
            <w:tcW w:w="347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E2A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Промышленность. Объем отгруженных товаров собственного производства, выполненных работ и услуг собственными силами 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3E6C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дейст.ц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8FAD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B094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20C5F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32E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8FA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E68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130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82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80A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F9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7D9E9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8B09CFB" w14:textId="77777777" w:rsidTr="0094784E">
        <w:trPr>
          <w:cantSplit/>
          <w:trHeight w:val="425"/>
        </w:trPr>
        <w:tc>
          <w:tcPr>
            <w:tcW w:w="34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C378A" w14:textId="77777777" w:rsidR="00961A7A" w:rsidRPr="00961A7A" w:rsidRDefault="00961A7A" w:rsidP="00961A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B79F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сопос.ц</w:t>
            </w:r>
            <w:proofErr w:type="spellEnd"/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36BA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пред.</w:t>
            </w:r>
          </w:p>
          <w:p w14:paraId="5E4594A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479E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44A7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552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1BEC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39D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39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BA10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70D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274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F3D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9F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DC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89E9D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DDA28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45D25751" w14:textId="77777777" w:rsidTr="0094784E">
        <w:trPr>
          <w:cantSplit/>
          <w:trHeight w:val="425"/>
        </w:trPr>
        <w:tc>
          <w:tcPr>
            <w:tcW w:w="347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532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Объем продукции сельского хозяйства в хозяйствах всех категорий 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DBE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дейст.ц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8E843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B326C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3BBB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46B0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9A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2239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327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6302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82E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8EAF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A949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0BC3B19E" w14:textId="77777777" w:rsidTr="0094784E">
        <w:trPr>
          <w:cantSplit/>
        </w:trPr>
        <w:tc>
          <w:tcPr>
            <w:tcW w:w="347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C93B2" w14:textId="77777777" w:rsidR="00961A7A" w:rsidRPr="00961A7A" w:rsidRDefault="00961A7A" w:rsidP="00961A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AE24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сопос.ц</w:t>
            </w:r>
            <w:proofErr w:type="spellEnd"/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712E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пред.</w:t>
            </w:r>
          </w:p>
          <w:p w14:paraId="0B1E389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CA8C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3CA8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C75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5C2E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FCE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97C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ED58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ADC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6A3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3E235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4B6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67B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FDBF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7B8A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2A3AAC52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B0C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8570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DE93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CFB8C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F9BD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EEF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D208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2B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9E09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0E8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EB0E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5445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6E1859E2" w14:textId="77777777" w:rsidTr="0094784E">
        <w:trPr>
          <w:cantSplit/>
          <w:trHeight w:val="310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97E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Поголовье </w:t>
            </w:r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скота  (</w:t>
            </w:r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хозяйств):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A27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F248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9DD03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C080F3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1FC158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9295C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607A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5E8AF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C5C89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6E13D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BC975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C87B5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F7F34C6" w14:textId="77777777" w:rsidR="00961A7A" w:rsidRPr="00961A7A" w:rsidRDefault="00961A7A" w:rsidP="00961A7A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34540E2D" w14:textId="77777777" w:rsidR="0094784E" w:rsidRDefault="0094784E" w:rsidP="0096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84E" w:rsidSect="0094784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6"/>
        <w:gridCol w:w="718"/>
        <w:gridCol w:w="993"/>
        <w:gridCol w:w="854"/>
        <w:gridCol w:w="1134"/>
        <w:gridCol w:w="992"/>
        <w:gridCol w:w="1134"/>
        <w:gridCol w:w="993"/>
        <w:gridCol w:w="992"/>
        <w:gridCol w:w="992"/>
        <w:gridCol w:w="992"/>
        <w:gridCol w:w="993"/>
        <w:gridCol w:w="992"/>
      </w:tblGrid>
      <w:tr w:rsidR="00961A7A" w:rsidRPr="00961A7A" w14:paraId="0FC57783" w14:textId="77777777" w:rsidTr="0094784E">
        <w:trPr>
          <w:cantSplit/>
          <w:trHeight w:val="439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D17A8" w14:textId="230C9244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крупный рогатый скот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158E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7B893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4B651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C4A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FA7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5F7A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B47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7F6E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C1E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4AD8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1639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406B276" w14:textId="77777777" w:rsidTr="0094784E">
        <w:trPr>
          <w:cantSplit/>
          <w:trHeight w:val="403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69B2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том числе коровы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B1AB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73C6F0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CB1F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3463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7EE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900C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36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7913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FB5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BF9B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7DBC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30F0E44B" w14:textId="77777777" w:rsidTr="0094784E">
        <w:trPr>
          <w:cantSplit/>
          <w:trHeight w:val="437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944E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 свиньи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59C2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голов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D4412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4963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2968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03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3F74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D5E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6DAF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722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7FB8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8E8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37C9813D" w14:textId="77777777" w:rsidTr="0094784E">
        <w:trPr>
          <w:cantSplit/>
          <w:trHeight w:val="401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2E47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молока (все категории хозяйств) </w:t>
            </w:r>
          </w:p>
          <w:p w14:paraId="66B4880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3F8C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CFB712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20D3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0C0A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AF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C390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3F1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46FA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2D6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3449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B716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53D0F46D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6FC35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мяса на убой в живом весе (все категории хозяйств) </w:t>
            </w:r>
          </w:p>
          <w:p w14:paraId="02A5098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BCA6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241828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9581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595D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36F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FBED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877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269E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86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9BC6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D39D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332EAD35" w14:textId="77777777" w:rsidTr="0094784E">
        <w:trPr>
          <w:cantSplit/>
          <w:trHeight w:val="480"/>
        </w:trPr>
        <w:tc>
          <w:tcPr>
            <w:tcW w:w="335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DD51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строительно-монтажных работ, включая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хозспособ</w:t>
            </w:r>
            <w:proofErr w:type="spellEnd"/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47E83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дейст.ц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6596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0C14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B27F4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8B3A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319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AF1E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FD6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CA4D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F9E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F2F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61ACC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A7A" w:rsidRPr="00961A7A" w14:paraId="0E491962" w14:textId="77777777" w:rsidTr="0094784E">
        <w:trPr>
          <w:cantSplit/>
        </w:trPr>
        <w:tc>
          <w:tcPr>
            <w:tcW w:w="335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78C6B" w14:textId="77777777" w:rsidR="00961A7A" w:rsidRPr="00961A7A" w:rsidRDefault="00961A7A" w:rsidP="00961A7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2A74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сопос.ц</w:t>
            </w:r>
            <w:proofErr w:type="spellEnd"/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предыд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7664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% к пред.</w:t>
            </w:r>
          </w:p>
          <w:p w14:paraId="3F8B2FF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D15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F5E8C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05DC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A97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8F6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4E3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99629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DC7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298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CF72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EFA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AFC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DA9A5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0C96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BA30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4E30755E" w14:textId="77777777" w:rsidTr="0094784E">
        <w:trPr>
          <w:cantSplit/>
          <w:trHeight w:val="510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F8B09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5A83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м.общ</w:t>
            </w:r>
            <w:proofErr w:type="spellEnd"/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F33EE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C1774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0A3B6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4EED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E94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18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43D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EAB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7D9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0078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D7CF78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A7A" w:rsidRPr="00961A7A" w14:paraId="5FC0A8DD" w14:textId="77777777" w:rsidTr="0094784E">
        <w:trPr>
          <w:cantSplit/>
          <w:trHeight w:val="510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37F0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BF36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м.общ</w:t>
            </w:r>
            <w:proofErr w:type="spellEnd"/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B5661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  <w:proofErr w:type="spellEnd"/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9AE7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6AA4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E3AE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BD9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6A9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C82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1C3D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539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9C58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6CB74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A7A" w:rsidRPr="00961A7A" w14:paraId="038868C8" w14:textId="77777777" w:rsidTr="0094784E">
        <w:trPr>
          <w:cantSplit/>
          <w:trHeight w:val="552"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B005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Перевезено грузов автомобильным транспортом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93CE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283C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150CB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538D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C28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13F7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74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C86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041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A8B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FD0A7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1A7A" w:rsidRPr="00961A7A" w14:paraId="226D4C67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86E7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 1 работника (по всем предприятиям)</w:t>
            </w:r>
          </w:p>
          <w:p w14:paraId="612197D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B65E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61040D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19990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4DC6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893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D3B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745E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955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95C8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094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47E2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20950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896ED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44AA3C79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8C44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 обеспеченности собственными доходами бюджета на 1 человека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F1F8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DA47C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016C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DD3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14,21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AC4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6C7B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23B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C8BD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4E7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B84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C31FD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323BE72E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EC9F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смертность на 1000 новорожденных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70B0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6F06E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6798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6A5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24E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8B00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AA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919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47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FA8B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67BFF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6299E7DB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0ACF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работающего населения профилактическими осмотрами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991F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80CC8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41CA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3D28C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7E3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1AE1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1AB6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A8F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0543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B5E9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229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1FE1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D610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E0AE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637A21DE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0A19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диспансерным наблюдением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2E57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0C992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C89C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F7BF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5F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3E3B6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EC9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199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ACE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4AE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384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B790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FBF7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5106A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6D4C6572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227C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CC6E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D16411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BCE4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6034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8107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8C40A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932F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0D2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9ADE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1E9E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76BC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FA7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1BD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ACE14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72CA3878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CA6D9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9A3F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914A32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420C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9634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7F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FD96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3921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6D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051F4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D4E8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FD7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E6E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569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7EE79F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0C49E096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54CD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учеников, обучающихся во 2 смену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136F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663BF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6EF8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F2F5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B94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8CAE9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3AF9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765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DE2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D90E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3B5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5D618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771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4F966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58DC5FBE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3994F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88B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1946C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5157E44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E46F3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49E1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427D1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61BB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15FE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995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0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61B2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D5E3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37D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75EA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78273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6F84E89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Х</w:t>
            </w:r>
          </w:p>
        </w:tc>
      </w:tr>
      <w:tr w:rsidR="00961A7A" w:rsidRPr="00961A7A" w14:paraId="0976EE45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1E959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выпускников общеобразовательных школ, поступивших в ВУЗы, </w:t>
            </w:r>
            <w:proofErr w:type="spell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ПТУ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AF5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602BF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8385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D6EE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5B32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6B7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35F5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910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0ABA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2F5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6972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20FA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75D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61EC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Х</w:t>
            </w:r>
          </w:p>
        </w:tc>
      </w:tr>
      <w:tr w:rsidR="00961A7A" w:rsidRPr="00961A7A" w14:paraId="6DA5CF93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F85D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3CF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3774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294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86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980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D0C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935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9F7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564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A44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2355F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5C3C93E2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93B5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приемных семей</w:t>
            </w:r>
          </w:p>
          <w:p w14:paraId="1C06DCC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0025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77048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63E2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A7F1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359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6264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AF3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9972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7D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4916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DA996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961A7A" w:rsidRPr="00961A7A" w14:paraId="4C332576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2222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детей, воспитывающихся в приемных семьях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6FA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F98E6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D8970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6B56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9B2F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8E5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7721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02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23B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721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34B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97736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</w:p>
        </w:tc>
      </w:tr>
      <w:tr w:rsidR="00961A7A" w:rsidRPr="00961A7A" w14:paraId="7D5CA90C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1010C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находящихся под опекой (попечительством)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19C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A2C64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9D380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A70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FAA6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A1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3B6B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7F7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700A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97A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7AA9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C8BF3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961A7A" w:rsidRPr="00961A7A" w14:paraId="1FF48674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E2C2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количество детей, получающих пособие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13C60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F5DEA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C8EB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B72E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9D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B171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CBE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87B7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6B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12E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DF275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961A7A" w:rsidRPr="00961A7A" w14:paraId="48530BAF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6C7D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граждан, состоящих в очереди на получение социального жилья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C4ED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728F3C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E200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FCDA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D44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CC7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5C5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282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D9E1C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69AC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5CB32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</w:tr>
      <w:tr w:rsidR="00961A7A" w:rsidRPr="00961A7A" w14:paraId="3341AE7A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40AD9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 в эксплуатацию </w:t>
            </w:r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 жилья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0EB3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5D7D2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6C33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B04F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739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1250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52CD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1F8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966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758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4265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5E528B7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F41C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населения, потребляющего питьевую воду, не соответствующую санитарным нормам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A753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кол-ва населения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105CD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C62FA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A5B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DA3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83D4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C49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790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306A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928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DF0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8D83F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3B7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2794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02ACD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04ACD7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Х</w:t>
            </w:r>
          </w:p>
        </w:tc>
      </w:tr>
      <w:tr w:rsidR="00961A7A" w:rsidRPr="00961A7A" w14:paraId="54C8EEE9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7F17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аренды муниципального имущества и земли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714C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46140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C222C" w14:textId="77777777" w:rsidR="00961A7A" w:rsidRPr="00961A7A" w:rsidRDefault="00961A7A" w:rsidP="00961A7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7B7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123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AE1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77F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755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0AA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960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7A80B5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1A7A" w:rsidRPr="00961A7A" w14:paraId="47982537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251B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Обеспеченное населения домашними </w:t>
            </w:r>
            <w:proofErr w:type="gramStart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телефонами  на</w:t>
            </w:r>
            <w:proofErr w:type="gramEnd"/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 жителей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590A1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0A3E5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65EE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2BE5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2EC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2E3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A3D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7519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887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13C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D238AF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61A7A" w:rsidRPr="00961A7A" w14:paraId="27985983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87AE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населенных пунктов сетью мобильной   связи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F0A0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60141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FB1F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C058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C3AD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29680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890E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D0A1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E942C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413D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97AB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94A78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AB31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642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2CB85394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EC3B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вес освещенных улиц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6339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общей протяженности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64717D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9FB4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B5C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44B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9D28B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063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8EFD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60B9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826D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687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2F6CF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3B0A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D7CC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45C26AE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B2FA8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учреждений образования, оборудованных: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002B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35E0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9B9F7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17F6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974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E76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B3F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BD4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246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AA6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7D135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08E34122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4C9E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1D9D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0FC94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A7CE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6307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0AF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A43C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6FCE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6BC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FC7A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ADA9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779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7F60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64A2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478B5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2B8716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Х</w:t>
            </w:r>
          </w:p>
        </w:tc>
      </w:tr>
      <w:tr w:rsidR="00961A7A" w:rsidRPr="00961A7A" w14:paraId="6E22A83A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6581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горячим водоснабжением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F5B8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21B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B50A8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1947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692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F0228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0F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64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2462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FD6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E03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F736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C12A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5A79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EBAB9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</w:t>
            </w:r>
          </w:p>
        </w:tc>
      </w:tr>
      <w:tr w:rsidR="00961A7A" w:rsidRPr="00961A7A" w14:paraId="6D4B3809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CBA5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4C25E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C15D2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2056B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AD24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42B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72F0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47F6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EE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0B33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8254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64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B5C5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2D72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B44FE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92F5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</w:t>
            </w:r>
          </w:p>
        </w:tc>
      </w:tr>
      <w:tr w:rsidR="00961A7A" w:rsidRPr="00961A7A" w14:paraId="726C095A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19A0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учреждений здравоохранения, оборудованных: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894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481E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48DF2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994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4F3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19E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69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9CC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4C7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9C4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BB71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78023DB3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C8A4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1AAA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C58B27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4513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D2CE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BBE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7A88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89A8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CC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155A9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03B3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FB2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EE90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E6D8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CDF3D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F9635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055759DF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030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- горячим водоснабжением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FC97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189F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A796F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26D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42D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C6D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EB6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A0D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BE508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D3E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95A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49D0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1D6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76AF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3F381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38B63DD2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F6422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10E9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EA9B76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F027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EE46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145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922E0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D06B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15C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AA2B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491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9B3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DE02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DE05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35044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F3314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17D7D658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E70A3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жилья, оборудованного: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04C5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97AE1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E8ED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B53F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97A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3C8D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E4F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8405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A32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1B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4B611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A7A" w:rsidRPr="00961A7A" w14:paraId="23C8726D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6A989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сетевым газом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2D61F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3D25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D748B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DD69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5D7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E07D0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A8D8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4F2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D869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09588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845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E2895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CC8D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1DD4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440D8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618B6558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8CC6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76537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5D2CE4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0C88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975C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16A7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59E9D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BFF5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B08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052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EB77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326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B91A2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CE5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FAFC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872D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61A7A" w:rsidRPr="00961A7A" w14:paraId="20E696D7" w14:textId="77777777" w:rsidTr="0094784E">
        <w:trPr>
          <w:cantSplit/>
        </w:trPr>
        <w:tc>
          <w:tcPr>
            <w:tcW w:w="40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BBD1BD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сливной канализацией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6A014C" w14:textId="77777777" w:rsidR="00961A7A" w:rsidRPr="00961A7A" w:rsidRDefault="00961A7A" w:rsidP="0096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9EF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9E77B0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62899C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45E404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4925BA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392AD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2E0F0B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3D9A9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C1F8DE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7539A3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0E5A6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E6FD6D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51CA1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784B1F" w14:textId="77777777" w:rsidR="00961A7A" w:rsidRPr="00961A7A" w:rsidRDefault="00961A7A" w:rsidP="00961A7A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A7A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493580E2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61A7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</w:p>
    <w:p w14:paraId="249E4295" w14:textId="77777777" w:rsidR="00961A7A" w:rsidRPr="00961A7A" w:rsidRDefault="00961A7A" w:rsidP="00961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666D17DB" w14:textId="77777777" w:rsidR="00961A7A" w:rsidRPr="00961A7A" w:rsidRDefault="00961A7A" w:rsidP="00961A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bookmarkEnd w:id="0"/>
    <w:p w14:paraId="02392293" w14:textId="77777777" w:rsidR="00961A7A" w:rsidRPr="00961A7A" w:rsidRDefault="00961A7A" w:rsidP="00961A7A">
      <w:pPr>
        <w:spacing w:line="259" w:lineRule="auto"/>
        <w:rPr>
          <w:sz w:val="24"/>
          <w:szCs w:val="24"/>
        </w:rPr>
      </w:pPr>
    </w:p>
    <w:p w14:paraId="4A2E87BA" w14:textId="77777777" w:rsidR="006D237E" w:rsidRPr="00961A7A" w:rsidRDefault="006D237E">
      <w:pPr>
        <w:rPr>
          <w:sz w:val="24"/>
          <w:szCs w:val="24"/>
        </w:rPr>
      </w:pPr>
    </w:p>
    <w:sectPr w:rsidR="006D237E" w:rsidRPr="00961A7A" w:rsidSect="0094784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C546E"/>
    <w:multiLevelType w:val="hybridMultilevel"/>
    <w:tmpl w:val="69460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4638F"/>
    <w:multiLevelType w:val="hybridMultilevel"/>
    <w:tmpl w:val="05FE1E62"/>
    <w:lvl w:ilvl="0" w:tplc="59487280">
      <w:start w:val="1"/>
      <w:numFmt w:val="decimal"/>
      <w:lvlText w:val="%1."/>
      <w:lvlJc w:val="left"/>
      <w:pPr>
        <w:ind w:left="1350" w:hanging="810"/>
      </w:pPr>
      <w:rPr>
        <w:rFonts w:ascii="Calibri" w:hAnsi="Calibri" w:cs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53"/>
    <w:rsid w:val="00185753"/>
    <w:rsid w:val="006D237E"/>
    <w:rsid w:val="0094784E"/>
    <w:rsid w:val="009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391D"/>
  <w15:chartTrackingRefBased/>
  <w15:docId w15:val="{78E49B32-4D66-4609-93A8-8726EBF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A7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61A7A"/>
  </w:style>
  <w:style w:type="numbering" w:customStyle="1" w:styleId="11">
    <w:name w:val="Нет списка11"/>
    <w:next w:val="a2"/>
    <w:uiPriority w:val="99"/>
    <w:semiHidden/>
    <w:unhideWhenUsed/>
    <w:rsid w:val="00961A7A"/>
  </w:style>
  <w:style w:type="paragraph" w:customStyle="1" w:styleId="msonormal0">
    <w:name w:val="msonormal"/>
    <w:basedOn w:val="a"/>
    <w:rsid w:val="0096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1A7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A7A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961A7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961A7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Название1"/>
    <w:rsid w:val="00961A7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961A7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2"/>
    <w:next w:val="12"/>
    <w:rsid w:val="00961A7A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">
    <w:name w:val="Основной текст 31"/>
    <w:basedOn w:val="12"/>
    <w:rsid w:val="00961A7A"/>
    <w:pPr>
      <w:widowControl/>
      <w:snapToGrid/>
    </w:pPr>
    <w:rPr>
      <w:rFonts w:ascii="Arial" w:hAnsi="Arial"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2024-11-21T02:42:00Z</cp:lastPrinted>
  <dcterms:created xsi:type="dcterms:W3CDTF">2024-11-21T02:25:00Z</dcterms:created>
  <dcterms:modified xsi:type="dcterms:W3CDTF">2024-11-21T02:43:00Z</dcterms:modified>
</cp:coreProperties>
</file>